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DB448A">
        <w:rPr>
          <w:sz w:val="22"/>
          <w:szCs w:val="22"/>
        </w:rPr>
        <w:t>1</w:t>
      </w:r>
      <w:r w:rsidR="004949C5">
        <w:rPr>
          <w:sz w:val="22"/>
          <w:szCs w:val="22"/>
        </w:rPr>
        <w:t>9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4949C5">
        <w:rPr>
          <w:sz w:val="22"/>
          <w:szCs w:val="22"/>
        </w:rPr>
        <w:t>июля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</w:t>
      </w:r>
      <w:r w:rsidR="00A5645A">
        <w:rPr>
          <w:sz w:val="22"/>
          <w:szCs w:val="22"/>
        </w:rPr>
        <w:t>1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4949C5">
        <w:rPr>
          <w:sz w:val="22"/>
          <w:szCs w:val="22"/>
        </w:rPr>
        <w:t>63/1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4949C5">
        <w:rPr>
          <w:sz w:val="22"/>
          <w:szCs w:val="22"/>
        </w:rPr>
        <w:t>2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4949C5">
        <w:rPr>
          <w:sz w:val="22"/>
          <w:szCs w:val="22"/>
        </w:rPr>
        <w:t>2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4949C5">
        <w:rPr>
          <w:sz w:val="22"/>
          <w:szCs w:val="22"/>
        </w:rPr>
        <w:t>2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B448A" w:rsidRDefault="00DB448A" w:rsidP="00B70528">
      <w:r>
        <w:t xml:space="preserve">Глава </w:t>
      </w:r>
      <w:r w:rsidR="00102146">
        <w:t>Усть-Бузулукского</w:t>
      </w:r>
    </w:p>
    <w:p w:rsidR="008145A1" w:rsidRDefault="00102146" w:rsidP="00DB448A">
      <w:pPr>
        <w:rPr>
          <w:sz w:val="22"/>
          <w:szCs w:val="22"/>
        </w:rPr>
      </w:pPr>
      <w:r>
        <w:t>сельского поселения</w:t>
      </w:r>
      <w:r w:rsidR="00B70528">
        <w:t xml:space="preserve">                                             </w:t>
      </w:r>
      <w:r w:rsidR="00DB448A">
        <w:t xml:space="preserve">                   </w:t>
      </w:r>
      <w:r w:rsidR="00B70528">
        <w:t xml:space="preserve"> </w:t>
      </w:r>
      <w:r w:rsidR="00DB448A">
        <w:t xml:space="preserve">          Николюкин Ю.А.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DB448A" w:rsidRDefault="00DB448A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4949C5">
        <w:rPr>
          <w:color w:val="000000" w:themeColor="text1"/>
          <w:sz w:val="22"/>
          <w:szCs w:val="22"/>
        </w:rPr>
        <w:t>19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4949C5">
        <w:rPr>
          <w:color w:val="000000" w:themeColor="text1"/>
          <w:sz w:val="22"/>
          <w:szCs w:val="22"/>
        </w:rPr>
        <w:t>июля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</w:t>
      </w:r>
      <w:r w:rsidR="00A5645A">
        <w:rPr>
          <w:color w:val="000000" w:themeColor="text1"/>
          <w:sz w:val="22"/>
          <w:szCs w:val="22"/>
        </w:rPr>
        <w:t>1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4949C5">
        <w:rPr>
          <w:color w:val="000000" w:themeColor="text1"/>
          <w:sz w:val="22"/>
          <w:szCs w:val="22"/>
        </w:rPr>
        <w:t>63/1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4949C5">
        <w:rPr>
          <w:b/>
          <w:sz w:val="32"/>
          <w:szCs w:val="32"/>
        </w:rPr>
        <w:t>2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</w:t>
      </w:r>
      <w:r w:rsidR="00DB448A">
        <w:rPr>
          <w:b/>
          <w:sz w:val="32"/>
          <w:szCs w:val="32"/>
        </w:rPr>
        <w:t>1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200028" w:rsidP="00395F01">
      <w:pPr>
        <w:pStyle w:val="a3"/>
        <w:ind w:left="0"/>
        <w:jc w:val="both"/>
        <w:rPr>
          <w:b/>
        </w:rPr>
      </w:pPr>
      <w:r w:rsidRPr="00200028">
        <w:drawing>
          <wp:inline distT="0" distB="0" distL="0" distR="0">
            <wp:extent cx="5850890" cy="637460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3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  <w:r w:rsidRPr="00200028">
        <w:lastRenderedPageBreak/>
        <w:drawing>
          <wp:inline distT="0" distB="0" distL="0" distR="0">
            <wp:extent cx="5850890" cy="761382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6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200028" w:rsidRDefault="00200028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lastRenderedPageBreak/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200028">
        <w:rPr>
          <w:b/>
        </w:rPr>
        <w:t>1090,9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200028">
        <w:rPr>
          <w:b/>
          <w:color w:val="000000" w:themeColor="text1"/>
        </w:rPr>
        <w:t>904,4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DB448A">
        <w:rPr>
          <w:b/>
        </w:rPr>
        <w:t>1</w:t>
      </w:r>
      <w:r w:rsidR="00200028">
        <w:rPr>
          <w:b/>
        </w:rPr>
        <w:t>8</w:t>
      </w:r>
      <w:r w:rsidR="00DB448A">
        <w:rPr>
          <w:b/>
        </w:rPr>
        <w:t>6,5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25266D">
        <w:rPr>
          <w:b/>
        </w:rPr>
        <w:t>1</w:t>
      </w:r>
      <w:r w:rsidR="00200028">
        <w:rPr>
          <w:b/>
        </w:rPr>
        <w:t>5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200028">
        <w:rPr>
          <w:b/>
        </w:rPr>
        <w:t>1940,1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200028">
        <w:rPr>
          <w:b/>
        </w:rPr>
        <w:t>1499,6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200028">
        <w:rPr>
          <w:b/>
        </w:rPr>
        <w:t>440,5</w:t>
      </w:r>
      <w:r w:rsidR="00084C0C">
        <w:rPr>
          <w:b/>
        </w:rPr>
        <w:t xml:space="preserve"> </w:t>
      </w:r>
      <w:r w:rsidRPr="00C7733B">
        <w:rPr>
          <w:b/>
        </w:rPr>
        <w:t>тыс. р</w:t>
      </w:r>
      <w:bookmarkStart w:id="0" w:name="_GoBack"/>
      <w:bookmarkEnd w:id="0"/>
      <w:r w:rsidRPr="00C7733B">
        <w:rPr>
          <w:b/>
        </w:rPr>
        <w:t>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D7" w:rsidRDefault="003F09D7" w:rsidP="0041015D">
      <w:r>
        <w:separator/>
      </w:r>
    </w:p>
  </w:endnote>
  <w:endnote w:type="continuationSeparator" w:id="0">
    <w:p w:rsidR="003F09D7" w:rsidRDefault="003F09D7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D7" w:rsidRDefault="003F09D7" w:rsidP="0041015D">
      <w:r>
        <w:separator/>
      </w:r>
    </w:p>
  </w:footnote>
  <w:footnote w:type="continuationSeparator" w:id="0">
    <w:p w:rsidR="003F09D7" w:rsidRDefault="003F09D7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0EDE"/>
    <w:rsid w:val="00084C0C"/>
    <w:rsid w:val="00084F91"/>
    <w:rsid w:val="000A1168"/>
    <w:rsid w:val="000A191F"/>
    <w:rsid w:val="000A340E"/>
    <w:rsid w:val="000C6556"/>
    <w:rsid w:val="000F452C"/>
    <w:rsid w:val="00102146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00028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266D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35EC6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3F09D7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49C5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515AF"/>
    <w:rsid w:val="00563F15"/>
    <w:rsid w:val="00566988"/>
    <w:rsid w:val="0058022A"/>
    <w:rsid w:val="0058720E"/>
    <w:rsid w:val="005914AD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E6AC1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5A74"/>
    <w:rsid w:val="00906D49"/>
    <w:rsid w:val="009157E8"/>
    <w:rsid w:val="00923CB4"/>
    <w:rsid w:val="00925132"/>
    <w:rsid w:val="00926076"/>
    <w:rsid w:val="00927CB6"/>
    <w:rsid w:val="0093043E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55D4F"/>
    <w:rsid w:val="00A5645A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AF54CD"/>
    <w:rsid w:val="00B0512A"/>
    <w:rsid w:val="00B0530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28"/>
    <w:rsid w:val="00B70552"/>
    <w:rsid w:val="00B7286B"/>
    <w:rsid w:val="00B72C36"/>
    <w:rsid w:val="00B766B9"/>
    <w:rsid w:val="00B81092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38CC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559E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48A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2BF6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F90B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BBAC-2A50-421A-ABEA-43B6DD1A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31</cp:revision>
  <cp:lastPrinted>2020-04-27T10:36:00Z</cp:lastPrinted>
  <dcterms:created xsi:type="dcterms:W3CDTF">2020-04-27T10:41:00Z</dcterms:created>
  <dcterms:modified xsi:type="dcterms:W3CDTF">2021-08-13T10:57:00Z</dcterms:modified>
</cp:coreProperties>
</file>